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F3" w:rsidRDefault="004B25F3" w:rsidP="004B25F3">
      <w:pPr>
        <w:shd w:val="clear" w:color="auto" w:fill="FFFFFF"/>
        <w:spacing w:after="0" w:line="240" w:lineRule="auto"/>
        <w:ind w:right="307"/>
        <w:jc w:val="center"/>
        <w:rPr>
          <w:rFonts w:ascii="Arial" w:eastAsia="Times New Roman" w:hAnsi="Arial" w:cs="Arial"/>
          <w:b/>
          <w:bCs/>
          <w:spacing w:val="-1"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1"/>
          <w:sz w:val="32"/>
          <w:szCs w:val="32"/>
        </w:rPr>
        <w:t>25.11.2022 г. № 3/5-ДП</w:t>
      </w:r>
    </w:p>
    <w:p w:rsidR="004B25F3" w:rsidRDefault="004B25F3" w:rsidP="004B25F3">
      <w:pPr>
        <w:shd w:val="clear" w:color="auto" w:fill="FFFFFF"/>
        <w:spacing w:after="0" w:line="240" w:lineRule="auto"/>
        <w:ind w:right="307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1"/>
          <w:sz w:val="32"/>
          <w:szCs w:val="32"/>
        </w:rPr>
        <w:t>РОССИЙСКАЯ ФЕДЕРАЦИЯ</w:t>
      </w:r>
    </w:p>
    <w:p w:rsidR="004B25F3" w:rsidRDefault="004B25F3" w:rsidP="004B25F3">
      <w:pPr>
        <w:shd w:val="clear" w:color="auto" w:fill="FFFFFF"/>
        <w:spacing w:after="0" w:line="240" w:lineRule="auto"/>
        <w:ind w:right="312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1"/>
          <w:sz w:val="32"/>
          <w:szCs w:val="32"/>
        </w:rPr>
        <w:t>ИРКУТСКАЯ ОБЛАСТЬ</w:t>
      </w:r>
    </w:p>
    <w:p w:rsidR="004B25F3" w:rsidRDefault="004B25F3" w:rsidP="004B25F3">
      <w:pPr>
        <w:shd w:val="clear" w:color="auto" w:fill="FFFFFF"/>
        <w:spacing w:after="0" w:line="240" w:lineRule="auto"/>
        <w:ind w:right="307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1"/>
          <w:sz w:val="32"/>
          <w:szCs w:val="32"/>
        </w:rPr>
        <w:t>УСТЬ-УДИНСКИЙ РАЙОННОЕ МУНИЦИПАЛЬНОЕ ОБРАЗОВАНИЕ</w:t>
      </w:r>
    </w:p>
    <w:p w:rsidR="004B25F3" w:rsidRDefault="004B25F3" w:rsidP="004B25F3">
      <w:pPr>
        <w:shd w:val="clear" w:color="auto" w:fill="FFFFFF"/>
        <w:spacing w:after="0" w:line="240" w:lineRule="auto"/>
        <w:ind w:right="307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1"/>
          <w:sz w:val="32"/>
          <w:szCs w:val="32"/>
        </w:rPr>
        <w:t>КЛЮЧИНСКОЕ МУНИЦИПАЛЬНОЕ ОБРАЗОВАНИЕ</w:t>
      </w:r>
    </w:p>
    <w:p w:rsidR="004B25F3" w:rsidRDefault="004B25F3" w:rsidP="004B25F3">
      <w:pPr>
        <w:shd w:val="clear" w:color="auto" w:fill="FFFFFF"/>
        <w:spacing w:after="0" w:line="240" w:lineRule="auto"/>
        <w:ind w:right="317"/>
        <w:jc w:val="center"/>
        <w:rPr>
          <w:rFonts w:ascii="Arial" w:eastAsia="Times New Roman" w:hAnsi="Arial" w:cs="Arial"/>
          <w:b/>
          <w:bCs/>
          <w:spacing w:val="-1"/>
          <w:sz w:val="32"/>
          <w:szCs w:val="32"/>
        </w:rPr>
      </w:pPr>
    </w:p>
    <w:p w:rsidR="004B25F3" w:rsidRDefault="004B25F3" w:rsidP="0099272B">
      <w:pPr>
        <w:shd w:val="clear" w:color="auto" w:fill="FFFFFF"/>
        <w:spacing w:after="0" w:line="240" w:lineRule="auto"/>
        <w:ind w:right="317"/>
        <w:jc w:val="center"/>
        <w:rPr>
          <w:rFonts w:ascii="Arial" w:eastAsia="Times New Roman" w:hAnsi="Arial" w:cs="Arial"/>
          <w:b/>
          <w:bCs/>
          <w:spacing w:val="-1"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ДУМА </w:t>
      </w:r>
    </w:p>
    <w:p w:rsidR="004B25F3" w:rsidRDefault="004B25F3" w:rsidP="0099272B">
      <w:pPr>
        <w:shd w:val="clear" w:color="auto" w:fill="FFFFFF"/>
        <w:spacing w:line="240" w:lineRule="auto"/>
        <w:ind w:right="317"/>
        <w:jc w:val="center"/>
        <w:rPr>
          <w:rFonts w:ascii="Arial" w:eastAsia="Times New Roman" w:hAnsi="Arial" w:cs="Arial"/>
          <w:b/>
          <w:bCs/>
          <w:spacing w:val="-1"/>
          <w:sz w:val="32"/>
          <w:szCs w:val="32"/>
        </w:rPr>
      </w:pPr>
    </w:p>
    <w:p w:rsidR="004B25F3" w:rsidRDefault="004B25F3" w:rsidP="0099272B">
      <w:pPr>
        <w:shd w:val="clear" w:color="auto" w:fill="FFFFFF"/>
        <w:spacing w:after="0" w:line="240" w:lineRule="auto"/>
        <w:ind w:right="317"/>
        <w:jc w:val="center"/>
        <w:rPr>
          <w:rFonts w:ascii="Arial" w:eastAsia="Times New Roman" w:hAnsi="Arial" w:cs="Arial"/>
          <w:b/>
          <w:bCs/>
          <w:spacing w:val="-1"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1"/>
          <w:sz w:val="32"/>
          <w:szCs w:val="32"/>
        </w:rPr>
        <w:t>РЕШЕНИЕ</w:t>
      </w:r>
    </w:p>
    <w:p w:rsidR="004B25F3" w:rsidRPr="008C34E8" w:rsidRDefault="004B25F3" w:rsidP="004B25F3">
      <w:pPr>
        <w:shd w:val="clear" w:color="auto" w:fill="FFFFFF"/>
        <w:spacing w:after="0"/>
        <w:ind w:right="317"/>
        <w:jc w:val="center"/>
        <w:rPr>
          <w:sz w:val="28"/>
          <w:szCs w:val="28"/>
        </w:rPr>
      </w:pPr>
    </w:p>
    <w:p w:rsidR="006B159C" w:rsidRPr="004B25F3" w:rsidRDefault="004B25F3" w:rsidP="004B25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B25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ПРАВИЛ БЛАГОУСТРОЙСТВА ТЕРРИТОРИИ КЛЮЧИНСКОГО МУНИЦИПАЛЬНОГО ОБРАЗОВАНИЯ</w:t>
      </w:r>
    </w:p>
    <w:p w:rsidR="004B25F3" w:rsidRPr="00085B72" w:rsidRDefault="004B25F3" w:rsidP="004B2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4B25F3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5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4B25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1</w:t>
      </w:r>
      <w:r w:rsidRPr="004B25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</w:t>
      </w:r>
      <w:r w:rsidR="008C34E8" w:rsidRPr="004B25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Ключинского муниципального образования Дума Ключинского муниципального </w:t>
      </w:r>
    </w:p>
    <w:p w:rsidR="006B159C" w:rsidRPr="004B25F3" w:rsidRDefault="006B159C" w:rsidP="004B25F3">
      <w:pPr>
        <w:spacing w:before="240"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B25F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</w:t>
      </w:r>
      <w:r w:rsidR="008C34E8" w:rsidRPr="004B25F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</w:t>
      </w:r>
      <w:r w:rsidRPr="004B25F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76002E" w:rsidRPr="004B25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4B25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Утвердить </w:t>
      </w:r>
      <w:r w:rsidR="0076002E" w:rsidRPr="004B25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прилагаемые </w:t>
      </w:r>
      <w:r w:rsidRPr="004B25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  <w:r w:rsidR="008C34E8" w:rsidRPr="004B25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Ключинского муниципального образования</w:t>
      </w:r>
    </w:p>
    <w:p w:rsidR="006B159C" w:rsidRPr="004B25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4B25F3">
        <w:rPr>
          <w:rFonts w:ascii="Arial" w:eastAsia="Times New Roman" w:hAnsi="Arial" w:cs="Arial"/>
          <w:bCs/>
          <w:sz w:val="28"/>
          <w:szCs w:val="28"/>
        </w:rPr>
        <w:t xml:space="preserve">2. </w:t>
      </w:r>
      <w:r w:rsidR="0076002E" w:rsidRPr="004B25F3">
        <w:rPr>
          <w:rFonts w:ascii="Arial" w:eastAsia="Times New Roman" w:hAnsi="Arial" w:cs="Arial"/>
          <w:bCs/>
          <w:sz w:val="28"/>
          <w:szCs w:val="28"/>
        </w:rPr>
        <w:t>П</w:t>
      </w:r>
      <w:r w:rsidR="00764FF6" w:rsidRPr="004B25F3">
        <w:rPr>
          <w:rFonts w:ascii="Arial" w:eastAsia="Times New Roman" w:hAnsi="Arial" w:cs="Arial"/>
          <w:bCs/>
          <w:sz w:val="28"/>
          <w:szCs w:val="28"/>
        </w:rPr>
        <w:t xml:space="preserve">ризнать утратившими силу постановление администрации Ключинского муниципального образования № 3 от 09.02.2018 г «Об утверждении </w:t>
      </w:r>
      <w:r w:rsidR="00764FF6" w:rsidRPr="004B25F3">
        <w:rPr>
          <w:rFonts w:ascii="Arial" w:hAnsi="Arial" w:cs="Arial"/>
          <w:sz w:val="28"/>
          <w:szCs w:val="28"/>
        </w:rPr>
        <w:t>Правил благоустройства на территории Ключинского муниципального образования»</w:t>
      </w:r>
    </w:p>
    <w:p w:rsidR="006B159C" w:rsidRPr="004B25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4B25F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3. Опубликовать настоящее решение в </w:t>
      </w:r>
      <w:r w:rsidR="008C34E8" w:rsidRPr="004B25F3">
        <w:rPr>
          <w:rFonts w:ascii="Arial" w:eastAsia="Times New Roman" w:hAnsi="Arial" w:cs="Arial"/>
          <w:bCs/>
          <w:color w:val="000000"/>
          <w:sz w:val="28"/>
          <w:szCs w:val="28"/>
        </w:rPr>
        <w:t>информационном вест</w:t>
      </w:r>
      <w:r w:rsidR="00764FF6" w:rsidRPr="004B25F3">
        <w:rPr>
          <w:rFonts w:ascii="Arial" w:eastAsia="Times New Roman" w:hAnsi="Arial" w:cs="Arial"/>
          <w:bCs/>
          <w:color w:val="000000"/>
          <w:sz w:val="28"/>
          <w:szCs w:val="28"/>
        </w:rPr>
        <w:t>н</w:t>
      </w:r>
      <w:r w:rsidR="008C34E8" w:rsidRPr="004B25F3">
        <w:rPr>
          <w:rFonts w:ascii="Arial" w:eastAsia="Times New Roman" w:hAnsi="Arial" w:cs="Arial"/>
          <w:bCs/>
          <w:color w:val="000000"/>
          <w:sz w:val="28"/>
          <w:szCs w:val="28"/>
        </w:rPr>
        <w:t>ике «Ключинские вести»</w:t>
      </w:r>
      <w:r w:rsidRPr="004B2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25F3">
        <w:rPr>
          <w:rFonts w:ascii="Arial" w:eastAsia="Times New Roman" w:hAnsi="Arial" w:cs="Arial"/>
          <w:bCs/>
          <w:color w:val="000000"/>
          <w:sz w:val="28"/>
          <w:szCs w:val="28"/>
        </w:rPr>
        <w:t>и</w:t>
      </w:r>
      <w:bookmarkStart w:id="0" w:name="_GoBack"/>
      <w:bookmarkEnd w:id="0"/>
      <w:r w:rsidRPr="004B25F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разместить </w:t>
      </w:r>
      <w:bookmarkStart w:id="1" w:name="_Hlk20309729"/>
      <w:bookmarkStart w:id="2" w:name="_Hlk67578940"/>
      <w:r w:rsidRPr="004B25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Pr="004B25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по адресу</w:t>
      </w:r>
      <w:bookmarkEnd w:id="3"/>
      <w:r w:rsidR="008C34E8" w:rsidRPr="004B25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«Ключи-адм.РФ»</w:t>
      </w:r>
      <w:r w:rsidRPr="004B25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6325F" w:rsidRPr="004B25F3" w:rsidRDefault="006B159C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B25F3">
        <w:rPr>
          <w:rFonts w:ascii="Arial" w:hAnsi="Arial" w:cs="Arial"/>
          <w:bCs/>
          <w:color w:val="000000"/>
          <w:sz w:val="28"/>
          <w:szCs w:val="28"/>
        </w:rPr>
        <w:t xml:space="preserve">4. Настоящее решение вступает в силу </w:t>
      </w:r>
      <w:r w:rsidR="00AF2E0B" w:rsidRPr="004B25F3">
        <w:rPr>
          <w:rFonts w:ascii="Arial" w:hAnsi="Arial" w:cs="Arial"/>
          <w:bCs/>
          <w:color w:val="000000"/>
          <w:sz w:val="28"/>
          <w:szCs w:val="28"/>
        </w:rPr>
        <w:t xml:space="preserve">после </w:t>
      </w:r>
      <w:r w:rsidRPr="004B25F3">
        <w:rPr>
          <w:rFonts w:ascii="Arial" w:hAnsi="Arial" w:cs="Arial"/>
          <w:bCs/>
          <w:color w:val="000000"/>
          <w:sz w:val="28"/>
          <w:szCs w:val="28"/>
        </w:rPr>
        <w:t>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1D7438" w:rsidRPr="004B25F3" w:rsidTr="00E31263">
        <w:tc>
          <w:tcPr>
            <w:tcW w:w="4390" w:type="dxa"/>
            <w:shd w:val="clear" w:color="auto" w:fill="auto"/>
          </w:tcPr>
          <w:p w:rsidR="00C6325F" w:rsidRDefault="008C34E8" w:rsidP="006912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Arial" w:eastAsia="Times New Roman" w:hAnsi="Arial" w:cs="Arial"/>
                <w:kern w:val="2"/>
                <w:sz w:val="28"/>
                <w:szCs w:val="28"/>
                <w:lang w:eastAsia="ru-RU"/>
              </w:rPr>
            </w:pPr>
            <w:r w:rsidRPr="004B25F3">
              <w:rPr>
                <w:rFonts w:ascii="Arial" w:eastAsia="Times New Roman" w:hAnsi="Arial" w:cs="Arial"/>
                <w:kern w:val="2"/>
                <w:sz w:val="28"/>
                <w:szCs w:val="28"/>
                <w:lang w:eastAsia="ru-RU"/>
              </w:rPr>
              <w:t>Председатель, глава Ключинского муниципального образования</w:t>
            </w:r>
          </w:p>
          <w:p w:rsidR="004B25F3" w:rsidRPr="004B25F3" w:rsidRDefault="004B25F3" w:rsidP="006912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  <w:lang w:eastAsia="ru-RU"/>
              </w:rPr>
            </w:pPr>
            <w:r>
              <w:rPr>
                <w:rFonts w:ascii="Arial" w:eastAsia="Calibri" w:hAnsi="Arial" w:cs="Arial"/>
                <w:kern w:val="2"/>
                <w:sz w:val="28"/>
                <w:szCs w:val="28"/>
                <w:lang w:eastAsia="ru-RU"/>
              </w:rPr>
              <w:t>В.П. Немчинова</w:t>
            </w:r>
          </w:p>
        </w:tc>
        <w:tc>
          <w:tcPr>
            <w:tcW w:w="4955" w:type="dxa"/>
            <w:shd w:val="clear" w:color="auto" w:fill="auto"/>
          </w:tcPr>
          <w:p w:rsidR="00C6325F" w:rsidRPr="004B25F3" w:rsidRDefault="00C6325F" w:rsidP="00744B9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  <w:lang w:eastAsia="ru-RU"/>
              </w:rPr>
            </w:pPr>
          </w:p>
          <w:p w:rsidR="00691291" w:rsidRPr="004B25F3" w:rsidRDefault="00691291" w:rsidP="00744B9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22438A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4C68" w:rsidRDefault="00BD4C68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4C68" w:rsidRPr="006B159C" w:rsidRDefault="00BD4C68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9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1D7438" w:rsidTr="00E31263">
        <w:tc>
          <w:tcPr>
            <w:tcW w:w="4916" w:type="dxa"/>
          </w:tcPr>
          <w:p w:rsidR="00C6325F" w:rsidRPr="004B25F3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2"/>
              </w:rPr>
            </w:pPr>
            <w:r w:rsidRPr="004B25F3">
              <w:rPr>
                <w:rFonts w:ascii="Courier New" w:hAnsi="Courier New" w:cs="Courier New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C6325F" w:rsidRPr="004B25F3" w:rsidRDefault="00C6325F" w:rsidP="00545FBF">
            <w:pPr>
              <w:suppressAutoHyphens/>
              <w:ind w:firstLine="36"/>
              <w:rPr>
                <w:rFonts w:ascii="Courier New" w:eastAsia="Times New Roman" w:hAnsi="Courier New" w:cs="Courier New"/>
                <w:kern w:val="2"/>
              </w:rPr>
            </w:pPr>
            <w:r w:rsidRPr="004B25F3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</w:t>
            </w:r>
            <w:r w:rsidR="0076002E" w:rsidRPr="004B25F3">
              <w:rPr>
                <w:rFonts w:ascii="Courier New" w:eastAsia="Times New Roman" w:hAnsi="Courier New" w:cs="Courier New"/>
                <w:kern w:val="2"/>
                <w:lang w:eastAsia="ru-RU"/>
              </w:rPr>
              <w:t>Ы</w:t>
            </w:r>
          </w:p>
          <w:p w:rsidR="008C34E8" w:rsidRPr="004B25F3" w:rsidRDefault="00C6325F" w:rsidP="008C34E8">
            <w:pPr>
              <w:suppressAutoHyphens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B25F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</w:t>
            </w:r>
            <w:r w:rsidR="008C34E8" w:rsidRPr="004B25F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Думы Ключинского </w:t>
            </w:r>
            <w:r w:rsidRPr="004B25F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муниципального </w:t>
            </w:r>
            <w:r w:rsidR="00B961D5" w:rsidRPr="004B25F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образования </w:t>
            </w:r>
          </w:p>
          <w:p w:rsidR="00C6325F" w:rsidRPr="004B25F3" w:rsidRDefault="00C6325F" w:rsidP="004B25F3">
            <w:pPr>
              <w:suppressAutoHyphens/>
              <w:jc w:val="both"/>
              <w:rPr>
                <w:rFonts w:ascii="Courier New" w:eastAsia="Times New Roman" w:hAnsi="Courier New" w:cs="Courier New"/>
                <w:kern w:val="2"/>
              </w:rPr>
            </w:pPr>
            <w:r w:rsidRPr="004B25F3">
              <w:rPr>
                <w:rFonts w:ascii="Courier New" w:eastAsia="Times New Roman" w:hAnsi="Courier New" w:cs="Courier New"/>
                <w:kern w:val="2"/>
                <w:lang w:eastAsia="ru-RU"/>
              </w:rPr>
              <w:t>от «</w:t>
            </w:r>
            <w:r w:rsidR="004B25F3">
              <w:rPr>
                <w:rFonts w:ascii="Courier New" w:eastAsia="Times New Roman" w:hAnsi="Courier New" w:cs="Courier New"/>
                <w:kern w:val="2"/>
                <w:lang w:eastAsia="ru-RU"/>
              </w:rPr>
              <w:t>25</w:t>
            </w:r>
            <w:r w:rsidRPr="004B25F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» </w:t>
            </w:r>
            <w:r w:rsidR="004B25F3">
              <w:rPr>
                <w:rFonts w:ascii="Courier New" w:eastAsia="Times New Roman" w:hAnsi="Courier New" w:cs="Courier New"/>
                <w:kern w:val="2"/>
                <w:lang w:eastAsia="ru-RU"/>
              </w:rPr>
              <w:t>ноября</w:t>
            </w:r>
            <w:r w:rsidRPr="004B25F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20___ г. № ___</w:t>
            </w:r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99272B" w:rsidRDefault="006B159C" w:rsidP="008C34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bookmarkStart w:id="4" w:name="_Hlk101512676"/>
    </w:p>
    <w:p w:rsidR="008C34E8" w:rsidRPr="0099272B" w:rsidRDefault="008C34E8" w:rsidP="008C34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КЛЮЧИНСКОГО МУНИЦИПАЛЬНОГО ОБРАЗОВАНИЯ</w:t>
      </w:r>
    </w:p>
    <w:bookmarkEnd w:id="4"/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bookmarkStart w:id="6" w:name="_Hlk101519067"/>
      <w:r w:rsidR="008C34E8" w:rsidRPr="009927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Ключинского муниципального образования</w:t>
      </w:r>
      <w:bookmarkEnd w:id="6"/>
      <w:r w:rsidRPr="009927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7" w:name="3"/>
      <w:bookmarkEnd w:id="7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99272B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99272B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</w:t>
      </w:r>
      <w:r w:rsidR="00233114" w:rsidRPr="009927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99272B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9927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8"/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="00B73DC6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Ключинского муниципального образования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информационно-телекоммуникационной сети «Интернет» по адресу: </w:t>
      </w:r>
      <w:r w:rsidR="00B73DC6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«Ключи-адм.РФ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местах, в холлах объектов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99272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9" w:name="_Hlk11160493"/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территорий</w:t>
      </w:r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99272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99272B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99272B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99272B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99272B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99272B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99272B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99272B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99272B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99272B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99272B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99272B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</w:t>
      </w: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99272B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99272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99272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99272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99272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99272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99272B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10" w:name="sub_55"/>
      <w:r w:rsidR="00C24CBA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99272B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11" w:name="sub_56"/>
      <w:bookmarkEnd w:id="10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таких домов)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10 метров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метра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99272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11"/>
    <w:p w:rsidR="006B159C" w:rsidRPr="0099272B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территорий вдоль главных магистралей и в течение суток — с иных элементов улично-дорожной сети.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12" w:name="_Hlk8137221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3" w:name="_Hlk22210955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4" w:name="_Hlk14965574"/>
    </w:p>
    <w:bookmarkEnd w:id="14"/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99272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2"/>
    <w:p w:rsidR="006B159C" w:rsidRPr="0099272B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укрытие песка, щебня, других сыпучих материалов нетканым материалом, брезентом во избежание воздействия атмосферных осадков, ветра и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последующего перемешивания с почвой, распространения за пределы места складирования;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Организация сбора, транспортирования, обработки, утилизации, обезвреживания и размещения сельскохозяйственных отходов осуществляется в </w:t>
      </w: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соответствии с ветеринарным и санитарно-эпидемиологическим законодательством Российской Федерации.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5" w:name="_Hlk14965857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5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6" w:name="6"/>
      <w:bookmarkEnd w:id="16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7" w:name="_Hlk22804048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8" w:name="_Hlk22211020"/>
      <w:bookmarkStart w:id="19" w:name="_Hlk22211206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8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9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7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99272B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0" w:name="7"/>
      <w:bookmarkEnd w:id="20"/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1" w:name="8"/>
      <w:bookmarkEnd w:id="21"/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2" w:name="9"/>
      <w:bookmarkEnd w:id="22"/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9927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3" w:name="10"/>
      <w:bookmarkEnd w:id="23"/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4" w:name="_Hlk14967170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4"/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герметизацию, заделку и расшивку швов, трещин и выбоин;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5" w:name="_Hlk14967236"/>
    </w:p>
    <w:bookmarkEnd w:id="25"/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устанавливаемых на фасадах объекта перед одним входом, не должна превышать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и) интенсивность пешеходного и автомобильного движения, близость транспортных узлов;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текстурированием или перфорированием для защиты от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Некапитальные сооружения питания могут также оборудоваться туалетными кабинами.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8.4. С учетом общественного мнения на сложившихся пешеходных маршрутах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населения.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10.5. Планирование функционала и (или) функциональных зон площадок необходимо осуществлять с учетом: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сооружения.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собственники помещений в многоквартирном доме либо лицо, ими уполномоченное. 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99272B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99272B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6" w:name="_Hlk22308913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6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</w:t>
      </w:r>
      <w:r w:rsidRPr="0099272B">
        <w:rPr>
          <w:rFonts w:ascii="Arial" w:eastAsia="Times New Roman" w:hAnsi="Arial" w:cs="Arial"/>
          <w:sz w:val="24"/>
          <w:szCs w:val="24"/>
          <w:lang w:eastAsia="ru-RU"/>
        </w:rPr>
        <w:t xml:space="preserve">работ </w:t>
      </w:r>
      <w:bookmarkStart w:id="27" w:name="_Hlk104286455"/>
      <w:r w:rsidRPr="0099272B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7"/>
      <w:r w:rsidRPr="0099272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_Hlk10560126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8"/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42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9"/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30" w:name="_Hlk10556166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0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1" w:name="_Hlk104283762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2" w:name="_Hlk104282909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1"/>
      <w:bookmarkEnd w:id="32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7) </w:t>
      </w:r>
      <w:bookmarkStart w:id="33" w:name="_Hlk10813309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C3687B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3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10042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5"/>
      <w:bookmarkEnd w:id="34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6"/>
      <w:bookmarkEnd w:id="35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7" w:name="_Hlk10636188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7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привлечением специализированной организации, которая будет осуществлять восстановление благоустройства.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8" w:name="_Hlk10814035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C3687B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8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9" w:name="_Hlk10813944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9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9927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07"/>
      <w:bookmarkEnd w:id="36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08"/>
      <w:bookmarkEnd w:id="40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1"/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9927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9927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09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3" w:name="sub_1010"/>
      <w:bookmarkEnd w:id="42"/>
    </w:p>
    <w:bookmarkEnd w:id="43"/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4" w:name="_Hlk103949610"/>
      <w:r w:rsidR="00C3687B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bookmarkEnd w:id="44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10 тонн, а для въездов во дворы — не менее 3 метров с расчётом на нагрузку 7 тонн.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откачка воды из колодцев, траншей, котлованов на тротуары и проезжую часть улиц;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1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6" w:name="_Hlk104284916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9927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6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9927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2"/>
      <w:bookmarkEnd w:id="45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нарушенных объектов благоустройства по временной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схеме должны быть выполнены следующие условия: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3607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8"/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1013"/>
      <w:bookmarkEnd w:id="47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0" w:name="sub_1014"/>
      <w:bookmarkEnd w:id="49"/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99272B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9927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015"/>
      <w:bookmarkEnd w:id="50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sub_1016"/>
      <w:bookmarkEnd w:id="51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sub_1017"/>
      <w:bookmarkEnd w:id="52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3"/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54" w:name="_Hlk7527352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4"/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_Hlk35262974"/>
      <w:bookmarkStart w:id="56" w:name="_Hlk35260093"/>
      <w:r w:rsidRPr="0099272B">
        <w:rPr>
          <w:rFonts w:ascii="Arial" w:eastAsia="Times New Roman" w:hAnsi="Arial" w:cs="Arial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99272B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sub_1004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7"/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15.4. Удаление (снос) деревьев и кустарников осуществляется в срок, установленный в порубочном билете</w:t>
      </w:r>
      <w:bookmarkEnd w:id="55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рабочих дней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рабочих дней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9927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8F4C83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рабочих дней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15.12 В рамках мероприятий по содержанию озелененных территорий допускается: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6"/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населенного пункта,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9"/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9272B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9272B">
        <w:rPr>
          <w:rFonts w:ascii="Arial" w:eastAsia="Calibri" w:hAnsi="Arial" w:cs="Arial"/>
          <w:color w:val="000000"/>
          <w:sz w:val="24"/>
          <w:szCs w:val="24"/>
        </w:rPr>
        <w:lastRenderedPageBreak/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99272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9272B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99272B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99272B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9272B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9272B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99272B">
        <w:rPr>
          <w:rFonts w:ascii="Arial" w:eastAsia="Calibri" w:hAnsi="Arial" w:cs="Arial"/>
          <w:color w:val="000000"/>
          <w:sz w:val="24"/>
          <w:szCs w:val="24"/>
        </w:rPr>
        <w:t>,</w:t>
      </w:r>
      <w:r w:rsidRPr="0099272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99272B">
        <w:rPr>
          <w:rFonts w:ascii="Arial" w:eastAsia="Calibri" w:hAnsi="Arial" w:cs="Arial"/>
          <w:color w:val="000000"/>
          <w:sz w:val="24"/>
          <w:szCs w:val="24"/>
        </w:rPr>
        <w:t xml:space="preserve">указанные в абзаце 1 пункта 17.1, </w:t>
      </w:r>
      <w:r w:rsidRPr="0099272B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9272B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9272B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9272B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9272B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8" w:name="_Hlk104198309"/>
      <w:r w:rsidR="00A94E02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bookmarkEnd w:id="58"/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A94E02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Иркутской области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</w:t>
      </w: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также ограждение, обеспечивающее предупреждение распространения отходов за пределы контейнерной площадки.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9" w:name="_Hlk67486644"/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9"/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Не допускается промывка контейнеров и (или) бункеров на контейнерных площадках.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9927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9927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правовыми актами поселения.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372C5"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9927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99272B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99272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1D7438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1D7438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3D" w:rsidRDefault="0032733D" w:rsidP="0022438A">
      <w:pPr>
        <w:spacing w:after="0" w:line="240" w:lineRule="auto"/>
      </w:pPr>
      <w:r>
        <w:separator/>
      </w:r>
    </w:p>
  </w:endnote>
  <w:endnote w:type="continuationSeparator" w:id="0">
    <w:p w:rsidR="0032733D" w:rsidRDefault="0032733D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3D" w:rsidRDefault="0032733D" w:rsidP="0022438A">
      <w:pPr>
        <w:spacing w:after="0" w:line="240" w:lineRule="auto"/>
      </w:pPr>
      <w:r>
        <w:separator/>
      </w:r>
    </w:p>
  </w:footnote>
  <w:footnote w:type="continuationSeparator" w:id="0">
    <w:p w:rsidR="0032733D" w:rsidRDefault="0032733D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A413F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B5FC3"/>
    <w:rsid w:val="002C40F7"/>
    <w:rsid w:val="00311C4D"/>
    <w:rsid w:val="0032707B"/>
    <w:rsid w:val="0032733D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2485"/>
    <w:rsid w:val="004B25F3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0E21"/>
    <w:rsid w:val="00626457"/>
    <w:rsid w:val="0063615A"/>
    <w:rsid w:val="00657C73"/>
    <w:rsid w:val="0066396B"/>
    <w:rsid w:val="00666597"/>
    <w:rsid w:val="00687BFB"/>
    <w:rsid w:val="00691291"/>
    <w:rsid w:val="00695B16"/>
    <w:rsid w:val="0069746B"/>
    <w:rsid w:val="006A2912"/>
    <w:rsid w:val="006B159C"/>
    <w:rsid w:val="006D470F"/>
    <w:rsid w:val="006E15E0"/>
    <w:rsid w:val="006F17AE"/>
    <w:rsid w:val="006F600A"/>
    <w:rsid w:val="00744B9B"/>
    <w:rsid w:val="007460AB"/>
    <w:rsid w:val="0076002E"/>
    <w:rsid w:val="00764FF6"/>
    <w:rsid w:val="00766744"/>
    <w:rsid w:val="007828A6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34E8"/>
    <w:rsid w:val="008C7E92"/>
    <w:rsid w:val="008F4C83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9272B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94E02"/>
    <w:rsid w:val="00AB49D7"/>
    <w:rsid w:val="00AB5801"/>
    <w:rsid w:val="00AC5947"/>
    <w:rsid w:val="00AD7FF8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3DC6"/>
    <w:rsid w:val="00B77570"/>
    <w:rsid w:val="00B844C2"/>
    <w:rsid w:val="00B84BE7"/>
    <w:rsid w:val="00B9185D"/>
    <w:rsid w:val="00B926CB"/>
    <w:rsid w:val="00B961D5"/>
    <w:rsid w:val="00B97699"/>
    <w:rsid w:val="00BD4C68"/>
    <w:rsid w:val="00BD732F"/>
    <w:rsid w:val="00C21E02"/>
    <w:rsid w:val="00C24CBA"/>
    <w:rsid w:val="00C33A84"/>
    <w:rsid w:val="00C3687B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712AA-D7CB-485D-A07F-BDF8546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B951-443C-44BE-BF83-861C8489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24807</Words>
  <Characters>141402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Admin</cp:lastModifiedBy>
  <cp:revision>9</cp:revision>
  <cp:lastPrinted>2022-11-23T07:59:00Z</cp:lastPrinted>
  <dcterms:created xsi:type="dcterms:W3CDTF">2022-10-31T00:56:00Z</dcterms:created>
  <dcterms:modified xsi:type="dcterms:W3CDTF">2022-11-23T08:00:00Z</dcterms:modified>
</cp:coreProperties>
</file>