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76" w:rsidRDefault="004A3B2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caps/>
          <w:sz w:val="30"/>
          <w:szCs w:val="30"/>
        </w:rPr>
        <w:t xml:space="preserve">27.11.2023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 49</w:t>
      </w:r>
    </w:p>
    <w:p w:rsidR="005B0276" w:rsidRDefault="004A3B2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5B0276" w:rsidRDefault="004A3B24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5B0276" w:rsidRDefault="004A3B24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УСТЬ-УДИНСКИЙ РАЙОН</w:t>
      </w:r>
    </w:p>
    <w:p w:rsidR="005B0276" w:rsidRDefault="004A3B2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КЛЮЧИНСКОЕ МуниципальноЕ образованиЯ</w:t>
      </w:r>
    </w:p>
    <w:p w:rsidR="005B0276" w:rsidRDefault="005B0276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bCs/>
          <w:caps/>
          <w:sz w:val="30"/>
          <w:szCs w:val="30"/>
        </w:rPr>
      </w:pPr>
    </w:p>
    <w:p w:rsidR="005B0276" w:rsidRDefault="004A3B2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5B0276" w:rsidRDefault="005B027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</w:p>
    <w:p w:rsidR="005B0276" w:rsidRDefault="004A3B2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5B0276" w:rsidRDefault="005B0276">
      <w:pPr>
        <w:rPr>
          <w:rFonts w:ascii="Arial" w:hAnsi="Arial" w:cs="Arial"/>
          <w:sz w:val="24"/>
          <w:szCs w:val="24"/>
        </w:rPr>
      </w:pPr>
    </w:p>
    <w:p w:rsidR="005B0276" w:rsidRDefault="004A3B2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СЕЛЬХОЗРАБОТ ПО ОБРАБОТКЕ СЕЛЬХОЗЗЕМЕЛЬ ПЕСТИЦИДАМИ И ЯДОХИМИКАТАМИ</w:t>
      </w:r>
    </w:p>
    <w:p w:rsidR="005B0276" w:rsidRDefault="005B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276" w:rsidRDefault="004A3B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обеспечения благоприятной окружающей среды и экологической безопасности  населения Ключинского муниципального образования ,  в соответствии с Федеральным законом от 10.01.2002 № 7-ФЗ «Об охране окружающей среды», Федеральным законом от 06.10.2003 № 131-ФЗ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Уставом Ключинского муниципального образования, администрация Ключинского муниципального образования,</w:t>
      </w:r>
    </w:p>
    <w:p w:rsidR="005B0276" w:rsidRDefault="005B0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276" w:rsidRDefault="004A3B24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ПОСТАНОВЛЯЕТ:</w:t>
      </w:r>
    </w:p>
    <w:p w:rsidR="005B0276" w:rsidRDefault="005B0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276" w:rsidRDefault="004A3B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</w:t>
      </w:r>
      <w:r>
        <w:rPr>
          <w:rFonts w:ascii="Arial" w:hAnsi="Arial" w:cs="Arial"/>
          <w:bCs/>
          <w:sz w:val="24"/>
          <w:szCs w:val="24"/>
        </w:rPr>
        <w:t>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5B0276" w:rsidRDefault="004A3B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Утвердить Порядок оповещения жителей поселения о проведении сельхозработ</w:t>
      </w:r>
      <w:r>
        <w:rPr>
          <w:rFonts w:ascii="Arial" w:hAnsi="Arial" w:cs="Arial"/>
          <w:bCs/>
          <w:sz w:val="24"/>
          <w:szCs w:val="24"/>
        </w:rPr>
        <w:t xml:space="preserve"> по обработке сельскохозяйственных земель пестицидами и агрохимикатами (приложение №2).</w:t>
      </w:r>
    </w:p>
    <w:p w:rsidR="005B0276" w:rsidRDefault="004A3B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Опубликовать настоящее постановление в установленном порядке на официальном сайте администрации Ключинского муниципального образования в сети «Интернет», </w:t>
      </w:r>
      <w:r>
        <w:rPr>
          <w:rFonts w:ascii="Arial" w:hAnsi="Arial" w:cs="Arial"/>
          <w:sz w:val="24"/>
          <w:szCs w:val="24"/>
        </w:rPr>
        <w:t>опубликоват</w:t>
      </w:r>
      <w:r>
        <w:rPr>
          <w:rFonts w:ascii="Arial" w:hAnsi="Arial" w:cs="Arial"/>
          <w:sz w:val="24"/>
          <w:szCs w:val="24"/>
        </w:rPr>
        <w:t xml:space="preserve">ь в информационном источнике «Ключинские вести» </w:t>
      </w:r>
    </w:p>
    <w:p w:rsidR="005B0276" w:rsidRDefault="004A3B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 исполнения  настоящего данного постановления оставляю за собой.</w:t>
      </w:r>
    </w:p>
    <w:p w:rsidR="005B0276" w:rsidRDefault="005B0276">
      <w:pPr>
        <w:spacing w:after="0" w:line="240" w:lineRule="auto"/>
        <w:ind w:firstLine="851"/>
        <w:rPr>
          <w:rFonts w:ascii="Arial" w:hAnsi="Arial" w:cs="Arial"/>
          <w:bCs/>
          <w:spacing w:val="6"/>
          <w:sz w:val="24"/>
          <w:szCs w:val="24"/>
        </w:rPr>
      </w:pPr>
    </w:p>
    <w:p w:rsidR="005B0276" w:rsidRDefault="005B0276">
      <w:pPr>
        <w:spacing w:after="0" w:line="240" w:lineRule="auto"/>
        <w:ind w:firstLine="851"/>
        <w:rPr>
          <w:rFonts w:ascii="Arial" w:hAnsi="Arial" w:cs="Arial"/>
          <w:bCs/>
          <w:spacing w:val="6"/>
          <w:sz w:val="24"/>
          <w:szCs w:val="24"/>
        </w:rPr>
      </w:pPr>
    </w:p>
    <w:p w:rsidR="005B0276" w:rsidRDefault="004A3B24">
      <w:pPr>
        <w:pStyle w:val="af9"/>
        <w:spacing w:after="0" w:line="240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Ключинского </w:t>
      </w:r>
    </w:p>
    <w:p w:rsidR="005B0276" w:rsidRDefault="004A3B24">
      <w:pPr>
        <w:pStyle w:val="af9"/>
        <w:spacing w:after="0" w:line="240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                              В.П. Немчинова</w:t>
      </w:r>
    </w:p>
    <w:p w:rsidR="005B0276" w:rsidRDefault="005B02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B0276" w:rsidRDefault="005B0276">
      <w:pPr>
        <w:rPr>
          <w:rFonts w:ascii="Arial" w:hAnsi="Arial" w:cs="Arial"/>
          <w:sz w:val="24"/>
          <w:szCs w:val="24"/>
        </w:rPr>
      </w:pPr>
    </w:p>
    <w:p w:rsidR="005B0276" w:rsidRDefault="005B0276"/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5B0276">
        <w:tc>
          <w:tcPr>
            <w:tcW w:w="5200" w:type="dxa"/>
          </w:tcPr>
          <w:p w:rsidR="005B0276" w:rsidRDefault="004A3B2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br w:type="page" w:clear="all"/>
            </w:r>
            <w:r>
              <w:rPr>
                <w:rFonts w:ascii="Courier New" w:eastAsia="Calibri" w:hAnsi="Courier New" w:cs="Courier New"/>
              </w:rPr>
              <w:br w:type="page" w:clear="all"/>
            </w:r>
          </w:p>
        </w:tc>
        <w:tc>
          <w:tcPr>
            <w:tcW w:w="4154" w:type="dxa"/>
          </w:tcPr>
          <w:p w:rsidR="005B0276" w:rsidRDefault="004A3B24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</w:p>
          <w:p w:rsidR="005B0276" w:rsidRDefault="004A3B24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Приложение № 1</w:t>
            </w:r>
          </w:p>
          <w:p w:rsidR="005B0276" w:rsidRDefault="004A3B24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 постановлению администрации</w:t>
            </w:r>
          </w:p>
          <w:p w:rsidR="005B0276" w:rsidRDefault="004A3B24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Ключинского муниципального образования</w:t>
            </w:r>
          </w:p>
          <w:p w:rsidR="005B0276" w:rsidRDefault="004A3B24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от 27.11.2023г № 49 </w:t>
            </w:r>
          </w:p>
          <w:p w:rsidR="005B0276" w:rsidRDefault="005B0276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  <w:p w:rsidR="005B0276" w:rsidRDefault="005B02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5B0276" w:rsidRDefault="005B0276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276" w:rsidRDefault="004A3B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5B0276" w:rsidRDefault="004A3B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5B0276" w:rsidRDefault="005B02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276" w:rsidRDefault="004A3B2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Введение </w:t>
      </w:r>
    </w:p>
    <w:p w:rsidR="005B0276" w:rsidRDefault="005B02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276" w:rsidRDefault="004A3B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5B0276" w:rsidRDefault="004A3B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Рекомендации предназначены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использования землепользователями Ключинского муниципального образования , а также при составлении собственных Планов природоохранных мероприятий.</w:t>
      </w:r>
    </w:p>
    <w:p w:rsidR="005B0276" w:rsidRDefault="005B0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276" w:rsidRDefault="004A3B24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</w:t>
      </w:r>
    </w:p>
    <w:p w:rsidR="005B0276" w:rsidRDefault="005B0276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69"/>
        <w:gridCol w:w="4426"/>
        <w:gridCol w:w="4245"/>
      </w:tblGrid>
      <w:tr w:rsidR="005B0276">
        <w:trPr>
          <w:trHeight w:val="675"/>
        </w:trPr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Проектные и научно-исследовательские работы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Примечание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(реконструкции) противоэрозионных, противопаводковых,</w:t>
            </w:r>
          </w:p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противообвальных сооружений (гидромелиорация)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6" w:tooltip="consultantplus://offline/ref=982A8B2C397066E945EAF207F339483B89BF1CF8A301B6D9B72EAE0C9FA72E3434727329C469A252DD04Q" w:history="1">
              <w:r>
                <w:rPr>
                  <w:rStyle w:val="af8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работ по агролесомелиорации</w:t>
            </w:r>
          </w:p>
        </w:tc>
        <w:tc>
          <w:tcPr>
            <w:tcW w:w="4290" w:type="dxa"/>
            <w:vMerge w:val="restart"/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7" w:tooltip="consultantplus://offline/ref=982A8B2C397066E945EAF207F339483B89BF1CF8A301B6D9B72EAE0C9FA72E3434727329C469A252DD04Q" w:history="1">
              <w:r>
                <w:rPr>
                  <w:rStyle w:val="af8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 загрязнения, и других негативных (вредных) воздействий, в результате которых происходит дег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радация земель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работ по химической мелиорации земель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Разработка, согласование и утверждение проекта работ по культуртехнической мелиорации земель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проекта осуществления почвозащитных агротехнических мероприятий 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строительства валов, плотин,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проекта обустройства для складирования и хранения минеральных и органических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удобрений, пестицидов, химических веществ, в том числе нефтепродуктов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 соответствии со </w:t>
            </w:r>
            <w:hyperlink r:id="rId8" w:tooltip="consultantplus://offline/ref=982A8B2C397066E945EAF207F339483B89BF1CF8A301B6D9B72EAE0C9FA72E3434727329C469A05BDD01Q" w:history="1">
              <w:r>
                <w:rPr>
                  <w:rStyle w:val="af8"/>
                  <w:rFonts w:ascii="Courier New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бственниками земельных участков, обязаны не допускать загрязнения почв 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проектов по приведению земель,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9" w:tooltip="consultantplus://offline/ref=982A8B2C397066E945EAF207F339483B89BF1CF8A301B6D9B72EAE0C9FA72E3434727329C469A252DD04Q" w:history="1">
              <w:r>
                <w:rPr>
                  <w:rStyle w:val="af8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 земельных уч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5B0276">
        <w:tc>
          <w:tcPr>
            <w:tcW w:w="671" w:type="dxa"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2"/>
            <w:tcBorders>
              <w:top w:val="none" w:sz="4" w:space="0" w:color="000000"/>
              <w:left w:val="single" w:sz="8" w:space="0" w:color="auto"/>
              <w:bottom w:val="single" w:sz="4" w:space="0" w:color="auto"/>
            </w:tcBorders>
          </w:tcPr>
          <w:p w:rsidR="005B0276" w:rsidRDefault="005B0276">
            <w:pPr>
              <w:spacing w:line="240" w:lineRule="exact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(технологические) работы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Строительство, реконструкция или ремонт противоэрозионных,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противопаводковых, противообвальных сооружений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0" w:tooltip="consultantplus://offline/ref=982A8B2C397066E945EAF207F339483B89BF1CF8A301B6D9B72EAE0C9FA72E3434727329C469A252DD04Q" w:history="1">
              <w:r>
                <w:rPr>
                  <w:rStyle w:val="af8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иными веществами и микроорганизмами, захламления отходами производства и потребления; по защит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 сельскохозяйственных угодий от зарастания деревьями и кустарниками, сорными растениями, сохранению достигнутого уровня мелиорации 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террасирования крутых склонов</w:t>
            </w:r>
          </w:p>
        </w:tc>
        <w:tc>
          <w:tcPr>
            <w:tcW w:w="4290" w:type="dxa"/>
            <w:vMerge w:val="restart"/>
          </w:tcPr>
          <w:p w:rsidR="005B0276" w:rsidRDefault="004A3B24">
            <w:pP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1" w:tooltip="consultantplus://offline/ref=982A8B2C397066E945EAF207F339483B89BF1CF8A301B6D9B72EAE0C9FA72E3434727329C469A05BDD01Q" w:history="1">
              <w:r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</w:t>
            </w: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ся собственниками земельных участков, обязаны  не допускать загрязнения почв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противоэрозионных лесных насаждений по оврагам и балкам, берегам рек, водоемов, на песках, террасах и эродируемых склонах (агролесомелиорация)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защитных лесных полос, включая полезащитные лесные полосы (агролесомелиорация)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4290" w:type="dxa"/>
            <w:vMerge w:val="restart"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9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 и ремонт существующих лесных насаждений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69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рубок ухода существующих лесных насаждений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инвентаризации защитных лесонасаждений, созданных на землях</w:t>
            </w:r>
          </w:p>
          <w:p w:rsidR="005B0276" w:rsidRDefault="004A3B24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сельскохозяйственного назначения </w:t>
            </w:r>
          </w:p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Известкование, фосфоритование, гипсование почв (химическая мелиорация)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Осуществление работ по уборке валунов, расчистке от древесной и травянистой растительности, кочек, пней, мха; рыхлению, пескованию, глинованию, землеванию, плантажу и первичной обработке почвы (культур- техническая мелиорация)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Посев многолетних трав с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большой нормой высева, чередование культур, буферных полос, безотвальная вспашка, распашка земель поперек склонов, кротование, щелевание, соблюдение 20-метровой буферной зоны,посев сидератов, возделывание пропашных культур с  использованием постоянных гре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бней, залужение пашни, подверженной эрозии в сильной степени (почвозащитные агротехнические мероприятия) 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69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почвозащитных технологий возделывания сельскохозяйственных</w:t>
            </w:r>
          </w:p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 на основе минимизации обработки почв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валов, плотин, ограждений,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Внедрение технологий по защите земель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нефтепродуктов(в соответствии с СНиП 11-108-78 «Склады сухих минеральных удобрений и химических средств защиты раст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ений» </w:t>
            </w:r>
          </w:p>
        </w:tc>
        <w:tc>
          <w:tcPr>
            <w:tcW w:w="4290" w:type="dxa"/>
            <w:vMerge/>
          </w:tcPr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6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429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2" w:tooltip="consultantplus://offline/ref=982A8B2C397066E945EAF207F339483B89BF1CF8A301B6D9B72EAE0C9FA72E3434727329C469A252DD04Q" w:history="1">
              <w:r>
                <w:rPr>
                  <w:rStyle w:val="af8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 земельных участков, землепользователи, землевладель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Создание твердого противофильтрационного покрытия (асфальт, бетон и т.д.) в местах ремонта, технического обслуживания, хранения и стоянки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сельскохозяйственной техники и </w:t>
            </w:r>
          </w:p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автотранспорта; в местах складирования оборудования, ГСМ,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отходов, химических средств защиты растений (ХСЗР) и удобрений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 соответствии со </w:t>
            </w:r>
            <w:hyperlink r:id="rId13" w:tooltip="consultantplus://offline/ref=982A8B2C397066E945EAF207F339483B89BF1CF8A301B6D9B72EAE0C9FA72E3434727329C469A05BDD01Q" w:history="1">
              <w:r>
                <w:rPr>
                  <w:rStyle w:val="af8"/>
                  <w:rFonts w:ascii="Courier New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</w:t>
            </w:r>
          </w:p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собственники земельных участков</w:t>
            </w:r>
          </w:p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лица, не являющиеся собственниками земельн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ых участков, обязаны не допускать загрязнения почв</w:t>
            </w:r>
          </w:p>
        </w:tc>
      </w:tr>
      <w:tr w:rsidR="005B0276">
        <w:tc>
          <w:tcPr>
            <w:tcW w:w="671" w:type="dxa"/>
          </w:tcPr>
          <w:p w:rsidR="005B0276" w:rsidRDefault="005B0276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76" w:rsidRDefault="004A3B24">
            <w:pPr>
              <w:pStyle w:val="afc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Организационные мероприятия</w:t>
            </w:r>
          </w:p>
          <w:p w:rsidR="005B0276" w:rsidRDefault="005B0276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4" w:tooltip="consultantplus://offline/ref=982A8B2C397066E945EAF207F339483B89BA1CF9A303B6D9B72EAE0C9FA72E3434727329C469A251DD04Q" w:history="1">
              <w:r>
                <w:rPr>
                  <w:rStyle w:val="af8"/>
                  <w:rFonts w:ascii="Courier New" w:hAnsi="Courier New" w:cs="Courier New"/>
                  <w:color w:val="000000"/>
                  <w:sz w:val="20"/>
                  <w:szCs w:val="20"/>
                </w:rPr>
                <w:t>ст. 24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ФЗ от</w:t>
            </w:r>
          </w:p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19.07.1997 №109-ФЗ «О безопасном обращении с пестицидами и агрохимикатами», обезвреживание, утилизация, уничтожение и захоронение пришедших в негодность и(или) запрещенных к применению пестицидов и агрохимикатов, а также тары из-под них обеспечиваютс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 гражданами и юридическими лицами в соответствии с законодательством РФ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сдачи пестицидов и агрохимикатов с истекшим сроком годности и запрещенных к применению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ст. 24 ФЗ от 19.07.1997 №109-ФЗ </w:t>
            </w:r>
            <w:r>
              <w:rPr>
                <w:rFonts w:ascii="Courier New" w:hAnsi="Courier New" w:cs="Courier New"/>
                <w:lang w:eastAsia="ru-RU"/>
              </w:rPr>
              <w:t>“О безопасном обращении с пестицидами и агрохимикатами”, обезвреживание, утилизация, уничтожение и захоронение пришедших в негодность и (или) запрещенных к применению пестицидов и агрохимикатов, а также тары из-под них обеспечиваются гражданами и юридическ</w:t>
            </w:r>
            <w:r>
              <w:rPr>
                <w:rFonts w:ascii="Courier New" w:hAnsi="Courier New" w:cs="Courier New"/>
                <w:lang w:eastAsia="ru-RU"/>
              </w:rPr>
              <w:t>ими лицами в соответствии с законодательством РФ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lang w:eastAsia="ru-RU"/>
              </w:rPr>
              <w:t>Организация аналитического контроля за состоянием земель в местах складирования (хранения) ГСМ, химикатов, удобрений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lang w:eastAsia="ru-RU"/>
              </w:rPr>
              <w:t>В соответствии со ст. 73 Земельного Кодекса РФ</w:t>
            </w: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Организация аналитического </w:t>
            </w:r>
            <w:r>
              <w:rPr>
                <w:rFonts w:ascii="Courier New" w:hAnsi="Courier New" w:cs="Courier New"/>
                <w:lang w:eastAsia="ru-RU"/>
              </w:rPr>
              <w:t>контроля за состоянием земель под открытыми площадками мест хранения сырья, материалов, отходов</w:t>
            </w:r>
          </w:p>
        </w:tc>
        <w:tc>
          <w:tcPr>
            <w:tcW w:w="42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276" w:rsidRDefault="005B0276">
            <w:pPr>
              <w:pStyle w:val="afc"/>
              <w:rPr>
                <w:rFonts w:ascii="Courier New" w:hAnsi="Courier New" w:cs="Courier New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Организация регулярной уборки территории предприятия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276" w:rsidRDefault="005B0276">
            <w:pPr>
              <w:pStyle w:val="afc"/>
              <w:rPr>
                <w:rFonts w:ascii="Courier New" w:hAnsi="Courier New" w:cs="Courier New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4A3B24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276" w:rsidRDefault="004A3B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компенсационной посадки зеленых насаждений в случае их санкционированного сноса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276" w:rsidRDefault="005B0276">
            <w:pPr>
              <w:pStyle w:val="afc"/>
              <w:rPr>
                <w:rFonts w:ascii="Courier New" w:hAnsi="Courier New" w:cs="Courier New"/>
                <w:lang w:eastAsia="ru-RU"/>
              </w:rPr>
            </w:pPr>
          </w:p>
        </w:tc>
      </w:tr>
      <w:tr w:rsidR="005B0276">
        <w:tc>
          <w:tcPr>
            <w:tcW w:w="671" w:type="dxa"/>
          </w:tcPr>
          <w:p w:rsidR="005B0276" w:rsidRDefault="005B0276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pStyle w:val="afc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межевания земель</w:t>
            </w:r>
          </w:p>
        </w:tc>
        <w:tc>
          <w:tcPr>
            <w:tcW w:w="429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276" w:rsidRDefault="004A3B24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5" w:tooltip="consultantplus://offline/ref=982A8B2C397066E945EAF207F339483B89BF1CF8A301B6D9B72EAE0C9FA72E3434727329C469A05BDD01Q" w:history="1">
              <w:r>
                <w:rPr>
                  <w:rStyle w:val="af8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ветствии с законодательством.</w:t>
            </w:r>
          </w:p>
        </w:tc>
      </w:tr>
    </w:tbl>
    <w:p w:rsidR="005B0276" w:rsidRDefault="005B027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5B0276" w:rsidRDefault="005B027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5B0276" w:rsidRDefault="005B027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5B0276" w:rsidRDefault="005B027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5B0276" w:rsidRDefault="004A3B24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lastRenderedPageBreak/>
        <w:t>Приложение № 2</w:t>
      </w:r>
    </w:p>
    <w:p w:rsidR="005B0276" w:rsidRDefault="004A3B24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 xml:space="preserve">к постановлению администрации </w:t>
      </w:r>
    </w:p>
    <w:p w:rsidR="005B0276" w:rsidRDefault="004A3B24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 xml:space="preserve"> Ключинского муниципального образования</w:t>
      </w:r>
    </w:p>
    <w:p w:rsidR="005B0276" w:rsidRDefault="004A3B24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 xml:space="preserve">от 27.11.2023 г. № 49 </w:t>
      </w:r>
    </w:p>
    <w:p w:rsidR="005B0276" w:rsidRDefault="005B027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B0276" w:rsidRDefault="005B02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5B0276" w:rsidRDefault="004A3B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Порядок</w:t>
      </w:r>
    </w:p>
    <w:p w:rsidR="005B0276" w:rsidRDefault="004A3B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оповещения жителей поселения о проведении сельхозработ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по обработке сельскохозяйственных земель пестицидами и агрохимикатами</w:t>
      </w:r>
    </w:p>
    <w:p w:rsidR="005B0276" w:rsidRDefault="005B02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276" w:rsidRDefault="004A3B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bookmarkStart w:id="1" w:name="_Hlk103671025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сельхозработ </w:t>
      </w:r>
      <w:bookmarkEnd w:id="1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обработке сельхозземель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пестицидами и агрохимикатами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роизводить оповещение жителей поселения о проведении указанных работ.</w:t>
      </w:r>
    </w:p>
    <w:p w:rsidR="005B0276" w:rsidRDefault="004A3B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к соблюдению мерах предосторожности.</w:t>
      </w:r>
    </w:p>
    <w:p w:rsidR="005B0276" w:rsidRDefault="004A3B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сельхозработ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обработке сельхозземель пестицидами и агрохимикатами и информирование населения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5B0276" w:rsidRDefault="004A3B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Администрация поселения осуществляет контроль за проведением оповещения населения поселения землепользователем.</w:t>
      </w:r>
    </w:p>
    <w:p w:rsidR="005B0276" w:rsidRDefault="004A3B24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ышеуказанного Порядка.</w:t>
      </w:r>
    </w:p>
    <w:p w:rsidR="005B0276" w:rsidRDefault="005B02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0276" w:rsidRDefault="005B0276"/>
    <w:sectPr w:rsidR="005B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76" w:rsidRDefault="004A3B24">
      <w:pPr>
        <w:spacing w:after="0" w:line="240" w:lineRule="auto"/>
      </w:pPr>
      <w:r>
        <w:separator/>
      </w:r>
    </w:p>
  </w:endnote>
  <w:endnote w:type="continuationSeparator" w:id="0">
    <w:p w:rsidR="005B0276" w:rsidRDefault="004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76" w:rsidRDefault="004A3B24">
      <w:pPr>
        <w:spacing w:after="0" w:line="240" w:lineRule="auto"/>
      </w:pPr>
      <w:r>
        <w:separator/>
      </w:r>
    </w:p>
  </w:footnote>
  <w:footnote w:type="continuationSeparator" w:id="0">
    <w:p w:rsidR="005B0276" w:rsidRDefault="004A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76"/>
    <w:rsid w:val="004A3B24"/>
    <w:rsid w:val="005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FAC2-D91E-42F3-BFD0-32609A9E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ody Text"/>
    <w:basedOn w:val="a"/>
    <w:link w:val="afa"/>
    <w:unhideWhenUsed/>
    <w:qFormat/>
    <w:pPr>
      <w:spacing w:after="120"/>
    </w:pPr>
    <w:rPr>
      <w:rFonts w:eastAsiaTheme="minorEastAsia"/>
      <w:lang w:eastAsia="ru-RU"/>
    </w:rPr>
  </w:style>
  <w:style w:type="character" w:customStyle="1" w:styleId="afa">
    <w:name w:val="Основной текст Знак"/>
    <w:basedOn w:val="a0"/>
    <w:link w:val="af9"/>
    <w:qFormat/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c"/>
    <w:uiPriority w:val="1"/>
    <w:qFormat/>
    <w:rPr>
      <w:rFonts w:ascii="Calibri" w:eastAsia="Times New Roman" w:hAnsi="Calibri" w:cs="Times New Roman"/>
    </w:rPr>
  </w:style>
  <w:style w:type="paragraph" w:styleId="afc">
    <w:name w:val="No Spacing"/>
    <w:link w:val="afb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05BDD01Q" TargetMode="External"/><Relationship Id="rId13" Type="http://schemas.openxmlformats.org/officeDocument/2006/relationships/hyperlink" Target="consultantplus://offline/ref=982A8B2C397066E945EAF207F339483B89BF1CF8A301B6D9B72EAE0C9FA72E3434727329C469A05BDD0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hyperlink" Target="consultantplus://offline/ref=982A8B2C397066E945EAF207F339483B89BF1CF8A301B6D9B72EAE0C9FA72E3434727329C469A252DD04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9BF1CF8A301B6D9B72EAE0C9FA72E3434727329C469A05BDD01Q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82A8B2C397066E945EAF207F339483B89BF1CF8A301B6D9B72EAE0C9FA72E3434727329C469A05BDD01Q" TargetMode="External"/><Relationship Id="rId10" Type="http://schemas.openxmlformats.org/officeDocument/2006/relationships/hyperlink" Target="consultantplus://offline/ref=982A8B2C397066E945EAF207F339483B89BF1CF8A301B6D9B72EAE0C9FA72E3434727329C469A252DD04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2A8B2C397066E945EAF207F339483B89BF1CF8A301B6D9B72EAE0C9FA72E3434727329C469A252DD04Q" TargetMode="External"/><Relationship Id="rId14" Type="http://schemas.openxmlformats.org/officeDocument/2006/relationships/hyperlink" Target="consultantplus://offline/ref=982A8B2C397066E945EAF207F339483B89BA1CF9A303B6D9B72EAE0C9FA72E3434727329C469A251DD0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Admin</cp:lastModifiedBy>
  <cp:revision>2</cp:revision>
  <dcterms:created xsi:type="dcterms:W3CDTF">2023-11-22T07:32:00Z</dcterms:created>
  <dcterms:modified xsi:type="dcterms:W3CDTF">2023-11-22T07:32:00Z</dcterms:modified>
</cp:coreProperties>
</file>